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224EC" w14:textId="77777777" w:rsidR="001766DD" w:rsidRPr="00E30B12" w:rsidRDefault="001766DD" w:rsidP="00E30B12">
      <w:pPr>
        <w:pStyle w:val="1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 xml:space="preserve">Программа исследований, научно-методические и технологические </w:t>
      </w:r>
    </w:p>
    <w:p w14:paraId="202F1E78" w14:textId="77777777" w:rsidR="001766DD" w:rsidRPr="00E30B12" w:rsidRDefault="001766DD" w:rsidP="00E30B12">
      <w:pPr>
        <w:pStyle w:val="1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 xml:space="preserve">основы ее реализации </w:t>
      </w:r>
    </w:p>
    <w:p w14:paraId="4AB0B16E" w14:textId="322EFE39" w:rsidR="001766DD" w:rsidRPr="00E30B12" w:rsidRDefault="001766DD" w:rsidP="00E30B12">
      <w:pPr>
        <w:pStyle w:val="2"/>
        <w:spacing w:after="0" w:line="240" w:lineRule="auto"/>
        <w:ind w:left="0" w:right="0"/>
        <w:jc w:val="both"/>
        <w:rPr>
          <w:szCs w:val="28"/>
        </w:rPr>
      </w:pPr>
    </w:p>
    <w:p w14:paraId="7793A442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>На основе информационных и технических возможностей точного земледелия была разработана программа исследований. При разработке программы исследования был учтен опыт предыдущих работ связанных с изучением внедрения и разработки приемов точного земледелия, как в нашей стране, так и за рубежом (</w:t>
      </w:r>
      <w:proofErr w:type="spellStart"/>
      <w:r w:rsidRPr="00E30B12">
        <w:rPr>
          <w:szCs w:val="28"/>
        </w:rPr>
        <w:t>Шпаар</w:t>
      </w:r>
      <w:proofErr w:type="spellEnd"/>
      <w:r w:rsidRPr="00E30B12">
        <w:rPr>
          <w:szCs w:val="28"/>
        </w:rPr>
        <w:t xml:space="preserve"> Д, Якушев В. П., Якушева О. И., Якушев В. В.. Конев А. В., Матвеенко Д. А., </w:t>
      </w:r>
      <w:proofErr w:type="spellStart"/>
      <w:r w:rsidRPr="00E30B12">
        <w:rPr>
          <w:szCs w:val="28"/>
        </w:rPr>
        <w:t>Витковская</w:t>
      </w:r>
      <w:proofErr w:type="spellEnd"/>
      <w:r w:rsidRPr="00E30B12">
        <w:rPr>
          <w:szCs w:val="28"/>
        </w:rPr>
        <w:t xml:space="preserve"> С. Е., Иванов А. И., Буре В. М., </w:t>
      </w:r>
      <w:proofErr w:type="spellStart"/>
      <w:r w:rsidRPr="00E30B12">
        <w:rPr>
          <w:szCs w:val="28"/>
        </w:rPr>
        <w:t>Топаж</w:t>
      </w:r>
      <w:proofErr w:type="spellEnd"/>
      <w:r w:rsidRPr="00E30B12">
        <w:rPr>
          <w:szCs w:val="28"/>
        </w:rPr>
        <w:t xml:space="preserve"> А. Г., и др.).  </w:t>
      </w:r>
    </w:p>
    <w:p w14:paraId="761171A8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Поскольку представленные ниже исследования проводились на полях биополигона АФИ, по единой методике проведения полевых опытов, утвержденной методическим советом АФИ, то некоторые элементы схем </w:t>
      </w:r>
      <w:proofErr w:type="spellStart"/>
      <w:r w:rsidRPr="00E30B12">
        <w:rPr>
          <w:szCs w:val="28"/>
        </w:rPr>
        <w:t>эксперементов</w:t>
      </w:r>
      <w:proofErr w:type="spellEnd"/>
      <w:r w:rsidRPr="00E30B12">
        <w:rPr>
          <w:szCs w:val="28"/>
        </w:rPr>
        <w:t xml:space="preserve"> были включены в работы отдельных исследователей выполненных как по индивидуальным планам так и в нашем соавторстве (Якушев В. П., Якушева О. И.. Якушев В. В.. Конев А. В., Матвеенко Д. А., </w:t>
      </w:r>
      <w:proofErr w:type="spellStart"/>
      <w:r w:rsidRPr="00E30B12">
        <w:rPr>
          <w:szCs w:val="28"/>
        </w:rPr>
        <w:t>Витковская</w:t>
      </w:r>
      <w:proofErr w:type="spellEnd"/>
      <w:r w:rsidRPr="00E30B12">
        <w:rPr>
          <w:szCs w:val="28"/>
        </w:rPr>
        <w:t xml:space="preserve"> С. Е., Иванов А. И., Буре В. М., </w:t>
      </w:r>
      <w:proofErr w:type="spellStart"/>
      <w:r w:rsidRPr="00E30B12">
        <w:rPr>
          <w:szCs w:val="28"/>
        </w:rPr>
        <w:t>Топаж</w:t>
      </w:r>
      <w:proofErr w:type="spellEnd"/>
      <w:r w:rsidRPr="00E30B12">
        <w:rPr>
          <w:szCs w:val="28"/>
        </w:rPr>
        <w:t xml:space="preserve"> А. Г., и др.). Ссылки на участие исследователей в представленной работе приводятся в соответствующих разделах. </w:t>
      </w:r>
    </w:p>
    <w:p w14:paraId="164239A3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Основание проведения исследований вытекали из самого определения точного земледелия – из его сущности. Каждое поле неоднородно по тем или иным параметрам, что в свою очередь оказывает влияние на формирование продуктивности возделываемых сельскохозяйственных культур. Особое внимание при разработке программы исследований было уделено изучению почвенных неоднородностей и степени их влияния на продуктивность яровой пшеницы. Необходимо было понять, как выявленные почвенные неоднородности оказывают влияние (положительно или негативно) на формирование продуктивности яровой пшеницы и насколько агротехническими приемами системы точного земледелия можно устранить неравномерность величины получаемого урожая. Основным преимуществом точного земледелия являются технические средства с возможностью дифференцированного внесения средств химизации. При постановке программы исследований предполагалось в случае аргументировано доказанной возможности нивелирования негативного влияния изучаемой почвенной неоднородности на уровень продуктивности яровой пшеницы разработать и апробировать новые методы дифференцированного агротехнического воздействия с целью повышения экономической и агрономической эффективности использования средств химизации и получения стабильных урожаев яровой пшеницы. </w:t>
      </w:r>
    </w:p>
    <w:p w14:paraId="05A9E295" w14:textId="77777777" w:rsidR="001766DD" w:rsidRPr="00E30B12" w:rsidRDefault="001766DD" w:rsidP="00E30B12">
      <w:pPr>
        <w:pStyle w:val="2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 xml:space="preserve">2.3.2 Методика проведения полевых опытов </w:t>
      </w:r>
    </w:p>
    <w:p w14:paraId="616622BA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 2006 г. с опытного полигона № 1 (поле № 25) </w:t>
      </w:r>
      <w:proofErr w:type="spellStart"/>
      <w:r w:rsidRPr="00E30B12">
        <w:rPr>
          <w:szCs w:val="28"/>
        </w:rPr>
        <w:t>Меньковского</w:t>
      </w:r>
      <w:proofErr w:type="spellEnd"/>
      <w:r w:rsidRPr="00E30B12">
        <w:rPr>
          <w:szCs w:val="28"/>
        </w:rPr>
        <w:t xml:space="preserve"> филиала были начаты трехлетние полевые исследования по влиянию почвенной неоднородности на продуктивность яровой пшеницы. Материалы исследований отражены в совместных работах (Воропаев, </w:t>
      </w:r>
      <w:proofErr w:type="spellStart"/>
      <w:r w:rsidRPr="00E30B12">
        <w:rPr>
          <w:szCs w:val="28"/>
        </w:rPr>
        <w:t>Лекомцев</w:t>
      </w:r>
      <w:proofErr w:type="spellEnd"/>
      <w:r w:rsidRPr="00E30B12">
        <w:rPr>
          <w:szCs w:val="28"/>
        </w:rPr>
        <w:t xml:space="preserve">, </w:t>
      </w:r>
    </w:p>
    <w:p w14:paraId="264F270B" w14:textId="77777777" w:rsidR="001766DD" w:rsidRPr="00E30B12" w:rsidRDefault="001766DD" w:rsidP="00E30B12">
      <w:pPr>
        <w:spacing w:after="0" w:line="240" w:lineRule="auto"/>
        <w:ind w:firstLine="0"/>
        <w:rPr>
          <w:szCs w:val="28"/>
        </w:rPr>
      </w:pPr>
      <w:r w:rsidRPr="00E30B12">
        <w:rPr>
          <w:szCs w:val="28"/>
        </w:rPr>
        <w:lastRenderedPageBreak/>
        <w:t xml:space="preserve">Якушева, 2007; Якушева, 2011; 2013). Учитывая, что схема эксперимента разворачивалась во времени и пространстве в 2007–2008 гг. опыт был продолжен на полях опытных полигонов № 2, 3 (поля № 26 и № 27).  </w:t>
      </w:r>
    </w:p>
    <w:p w14:paraId="459992EF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>В опытах изучали влияние неоднородности почвенного покрова на урожайность и качество яровой пшеницы, а также оценивали сравнительную эффективность агротехнологий при увеличении интенсивности и сравнительную эффективность использования технологий точного земледелия (дифференцированное внесение удобрений). Исследования проведены с районированным в Ленинградской области сортом пшеницы Ленинградская 97 (селекции ГНУ ЛНИИСХ Россельхозакадемии «</w:t>
      </w:r>
      <w:proofErr w:type="spellStart"/>
      <w:r w:rsidRPr="00E30B12">
        <w:rPr>
          <w:szCs w:val="28"/>
        </w:rPr>
        <w:t>Белогорка</w:t>
      </w:r>
      <w:proofErr w:type="spellEnd"/>
      <w:r w:rsidRPr="00E30B12">
        <w:rPr>
          <w:szCs w:val="28"/>
        </w:rPr>
        <w:t xml:space="preserve">») при ее возделывании в чистом виде (норма высева 6,5 млн. всхожих зерен пшеницы или 2,5 ц/га с учётом посевных качеств семян). Опытные поля ежегодно разбивались на делянки, соответствующие изучаемым вариантам. Ширина делянки – 18 м. Площадь делянки зависит от геометрических параметров опытных полигонов. Длина варианта в зависимости от года колебалась в пределах 400–800 м. Варианты разделялись защитной полосой 2 м (рис. 2.12). </w:t>
      </w:r>
    </w:p>
    <w:p w14:paraId="2FA6AEAC" w14:textId="77777777" w:rsidR="001766DD" w:rsidRPr="00E30B12" w:rsidRDefault="001766DD" w:rsidP="00E30B12">
      <w:pPr>
        <w:spacing w:after="0" w:line="240" w:lineRule="auto"/>
        <w:ind w:hanging="10"/>
        <w:jc w:val="center"/>
        <w:rPr>
          <w:szCs w:val="28"/>
        </w:rPr>
      </w:pPr>
      <w:r w:rsidRPr="00E30B12">
        <w:rPr>
          <w:szCs w:val="28"/>
        </w:rPr>
        <w:t xml:space="preserve">В опыте изучались следующие уровни интенсификации (варианты): </w:t>
      </w:r>
    </w:p>
    <w:p w14:paraId="2887B9C7" w14:textId="77777777" w:rsidR="001766DD" w:rsidRPr="00E30B12" w:rsidRDefault="001766DD" w:rsidP="00E30B12">
      <w:pPr>
        <w:numPr>
          <w:ilvl w:val="0"/>
          <w:numId w:val="1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>«Контроль</w:t>
      </w:r>
      <w:r w:rsidRPr="00E30B12">
        <w:rPr>
          <w:b/>
          <w:szCs w:val="28"/>
        </w:rPr>
        <w:t>»</w:t>
      </w:r>
      <w:r w:rsidRPr="00E30B12">
        <w:rPr>
          <w:szCs w:val="28"/>
        </w:rPr>
        <w:t xml:space="preserve"> (экстенсивная технология) – удобрения не вносились. </w:t>
      </w:r>
    </w:p>
    <w:p w14:paraId="79EED118" w14:textId="77777777" w:rsidR="001766DD" w:rsidRPr="00E30B12" w:rsidRDefault="001766DD" w:rsidP="00E30B12">
      <w:pPr>
        <w:numPr>
          <w:ilvl w:val="0"/>
          <w:numId w:val="1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>«Хозяйственный» (нормальная технология) – N</w:t>
      </w:r>
      <w:r w:rsidRPr="00E30B12">
        <w:rPr>
          <w:szCs w:val="28"/>
          <w:vertAlign w:val="subscript"/>
        </w:rPr>
        <w:t xml:space="preserve">50 </w:t>
      </w:r>
      <w:r w:rsidRPr="00E30B12">
        <w:rPr>
          <w:szCs w:val="28"/>
        </w:rPr>
        <w:t>P</w:t>
      </w:r>
      <w:r w:rsidRPr="00E30B12">
        <w:rPr>
          <w:szCs w:val="28"/>
          <w:vertAlign w:val="subscript"/>
        </w:rPr>
        <w:t xml:space="preserve">50 </w:t>
      </w:r>
      <w:r w:rsidRPr="00E30B12">
        <w:rPr>
          <w:szCs w:val="28"/>
        </w:rPr>
        <w:t>K</w:t>
      </w:r>
      <w:r w:rsidRPr="00E30B12">
        <w:rPr>
          <w:szCs w:val="28"/>
          <w:vertAlign w:val="subscript"/>
        </w:rPr>
        <w:t xml:space="preserve">50 </w:t>
      </w:r>
      <w:r w:rsidRPr="00E30B12">
        <w:rPr>
          <w:szCs w:val="28"/>
        </w:rPr>
        <w:t>(в качестве удобрения использовалась азофоска 16:16:16), а также гербицид «</w:t>
      </w:r>
      <w:proofErr w:type="spellStart"/>
      <w:r w:rsidRPr="00E30B12">
        <w:rPr>
          <w:szCs w:val="28"/>
        </w:rPr>
        <w:t>Линтур</w:t>
      </w:r>
      <w:proofErr w:type="spellEnd"/>
      <w:r w:rsidRPr="00E30B12">
        <w:rPr>
          <w:szCs w:val="28"/>
        </w:rPr>
        <w:t xml:space="preserve">» </w:t>
      </w:r>
    </w:p>
    <w:p w14:paraId="59D882B3" w14:textId="77777777" w:rsidR="001766DD" w:rsidRPr="00E30B12" w:rsidRDefault="001766DD" w:rsidP="00E30B12">
      <w:pPr>
        <w:spacing w:after="0" w:line="240" w:lineRule="auto"/>
        <w:ind w:hanging="10"/>
        <w:rPr>
          <w:szCs w:val="28"/>
        </w:rPr>
      </w:pPr>
      <w:r w:rsidRPr="00E30B12">
        <w:rPr>
          <w:szCs w:val="28"/>
        </w:rPr>
        <w:t xml:space="preserve">135 г/га. </w:t>
      </w:r>
    </w:p>
    <w:p w14:paraId="621AE5F7" w14:textId="77777777" w:rsidR="001766DD" w:rsidRPr="00E30B12" w:rsidRDefault="001766DD" w:rsidP="00E30B12">
      <w:pPr>
        <w:numPr>
          <w:ilvl w:val="0"/>
          <w:numId w:val="2"/>
        </w:numPr>
        <w:spacing w:after="0" w:line="240" w:lineRule="auto"/>
        <w:rPr>
          <w:szCs w:val="28"/>
        </w:rPr>
      </w:pPr>
      <w:r w:rsidRPr="00E30B12">
        <w:rPr>
          <w:szCs w:val="28"/>
        </w:rPr>
        <w:t>«Высокоинтенсивный» (интенсивная технология) – N</w:t>
      </w:r>
      <w:r w:rsidRPr="00E30B12">
        <w:rPr>
          <w:szCs w:val="28"/>
          <w:vertAlign w:val="subscript"/>
        </w:rPr>
        <w:t xml:space="preserve">110 </w:t>
      </w:r>
      <w:r w:rsidRPr="00E30B12">
        <w:rPr>
          <w:szCs w:val="28"/>
        </w:rPr>
        <w:t>P</w:t>
      </w:r>
      <w:r w:rsidRPr="00E30B12">
        <w:rPr>
          <w:szCs w:val="28"/>
          <w:vertAlign w:val="subscript"/>
        </w:rPr>
        <w:t xml:space="preserve">70 </w:t>
      </w:r>
      <w:r w:rsidRPr="00E30B12">
        <w:rPr>
          <w:szCs w:val="28"/>
        </w:rPr>
        <w:t>K</w:t>
      </w:r>
      <w:r w:rsidRPr="00E30B12">
        <w:rPr>
          <w:szCs w:val="28"/>
          <w:vertAlign w:val="subscript"/>
        </w:rPr>
        <w:t>110</w:t>
      </w:r>
      <w:r w:rsidRPr="00E30B12">
        <w:rPr>
          <w:szCs w:val="28"/>
        </w:rPr>
        <w:t xml:space="preserve"> (удобрения вносились частями – N</w:t>
      </w:r>
      <w:r w:rsidRPr="00E30B12">
        <w:rPr>
          <w:szCs w:val="28"/>
          <w:vertAlign w:val="subscript"/>
        </w:rPr>
        <w:t xml:space="preserve">70 </w:t>
      </w:r>
      <w:r w:rsidRPr="00E30B12">
        <w:rPr>
          <w:szCs w:val="28"/>
        </w:rPr>
        <w:t>P</w:t>
      </w:r>
      <w:r w:rsidRPr="00E30B12">
        <w:rPr>
          <w:szCs w:val="28"/>
          <w:vertAlign w:val="subscript"/>
        </w:rPr>
        <w:t xml:space="preserve">70 </w:t>
      </w:r>
      <w:r w:rsidRPr="00E30B12">
        <w:rPr>
          <w:szCs w:val="28"/>
        </w:rPr>
        <w:t>K</w:t>
      </w:r>
      <w:r w:rsidRPr="00E30B12">
        <w:rPr>
          <w:szCs w:val="28"/>
          <w:vertAlign w:val="subscript"/>
        </w:rPr>
        <w:t>70</w:t>
      </w:r>
      <w:r w:rsidRPr="00E30B12">
        <w:rPr>
          <w:szCs w:val="28"/>
        </w:rPr>
        <w:t xml:space="preserve"> (в виде азофоски) + N</w:t>
      </w:r>
      <w:r w:rsidRPr="00E30B12">
        <w:rPr>
          <w:szCs w:val="28"/>
          <w:vertAlign w:val="subscript"/>
        </w:rPr>
        <w:t xml:space="preserve">40 </w:t>
      </w:r>
      <w:r w:rsidRPr="00E30B12">
        <w:rPr>
          <w:szCs w:val="28"/>
        </w:rPr>
        <w:t>(в виде аммиачной селитры) + K</w:t>
      </w:r>
      <w:r w:rsidRPr="00E30B12">
        <w:rPr>
          <w:szCs w:val="28"/>
          <w:vertAlign w:val="subscript"/>
        </w:rPr>
        <w:t>40</w:t>
      </w:r>
      <w:r w:rsidRPr="00E30B12">
        <w:rPr>
          <w:szCs w:val="28"/>
        </w:rPr>
        <w:t xml:space="preserve"> (в виде хлористого калия).Обработка пестицидами: гербицид «</w:t>
      </w:r>
      <w:proofErr w:type="spellStart"/>
      <w:r w:rsidRPr="00E30B12">
        <w:rPr>
          <w:szCs w:val="28"/>
        </w:rPr>
        <w:t>Линтур</w:t>
      </w:r>
      <w:proofErr w:type="spellEnd"/>
      <w:r w:rsidRPr="00E30B12">
        <w:rPr>
          <w:szCs w:val="28"/>
        </w:rPr>
        <w:t xml:space="preserve">»;фунгицид 2-х кратная обработка «Фалькон»; инсектицид «Карате-Зенон». </w:t>
      </w:r>
    </w:p>
    <w:p w14:paraId="3CF525DF" w14:textId="77777777" w:rsidR="001766DD" w:rsidRPr="00E30B12" w:rsidRDefault="001766DD" w:rsidP="00E30B12">
      <w:pPr>
        <w:numPr>
          <w:ilvl w:val="0"/>
          <w:numId w:val="2"/>
        </w:numPr>
        <w:spacing w:after="0" w:line="240" w:lineRule="auto"/>
        <w:rPr>
          <w:szCs w:val="28"/>
        </w:rPr>
      </w:pPr>
      <w:r w:rsidRPr="00E30B12">
        <w:rPr>
          <w:szCs w:val="28"/>
        </w:rPr>
        <w:t xml:space="preserve">«Высокоинтенсивный» (точное земледелие) вариант с элементами точного земледелия – как и высокоинтенсивный вариант, только азотные (аммиачная селитра) и калийные (хлористый калий) удобрения вносились с учётом неоднородного содержания азота и калия в почве. </w:t>
      </w:r>
    </w:p>
    <w:p w14:paraId="23BAC07E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Минеральные удобрения вносились перед посевом следующим образом: в варианте № 2 (хозяйственная технология) и в варианте №3 (высокоинтенсивная технология), удобрения вносились фоном по всему варианту. Различия этих вариантов в дозе вносимых удобрений и использования средств химической защиты растений. </w:t>
      </w:r>
    </w:p>
    <w:p w14:paraId="4E776B81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 варианте № 4 (высокоинтенсивная технология) с использованием элементов точного земледелия, удобрения вносились дифференцировано с учетом содержания элементов питания в почве. Внесение удобрений было проведено с помощью разбрасывателя твердых минеральных удобрений с бортовым компьютером и GPS, Amazon ZA-M 1500. Дважды, в начале фазы выхода в трубку и в фазу колошение-цветение, произведена внекорневая подкормка высокоинтенсивных вариантов комплексным водорастворимым удобрением </w:t>
      </w:r>
      <w:proofErr w:type="spellStart"/>
      <w:r w:rsidRPr="00E30B12">
        <w:rPr>
          <w:szCs w:val="28"/>
        </w:rPr>
        <w:t>Poly-Feed</w:t>
      </w:r>
      <w:proofErr w:type="spellEnd"/>
      <w:r w:rsidRPr="00E30B12">
        <w:rPr>
          <w:szCs w:val="28"/>
        </w:rPr>
        <w:t xml:space="preserve"> в дозах, рекомендованных производителем – 3 кг/га </w:t>
      </w:r>
      <w:r w:rsidRPr="00E30B12">
        <w:rPr>
          <w:szCs w:val="28"/>
        </w:rPr>
        <w:lastRenderedPageBreak/>
        <w:t xml:space="preserve">(первая обработка) и 5 кг/га (вторая обработка) с расходом рабочего раствора 300 л/га рабочего раствора. </w:t>
      </w:r>
    </w:p>
    <w:p w14:paraId="56640383" w14:textId="77777777" w:rsidR="001766DD" w:rsidRPr="00E30B12" w:rsidRDefault="001766DD" w:rsidP="00E30B12">
      <w:pPr>
        <w:spacing w:after="0" w:line="240" w:lineRule="auto"/>
        <w:ind w:firstLine="698"/>
        <w:jc w:val="left"/>
        <w:rPr>
          <w:szCs w:val="28"/>
        </w:rPr>
      </w:pPr>
      <w:r w:rsidRPr="00E30B12">
        <w:rPr>
          <w:szCs w:val="28"/>
        </w:rPr>
        <w:t xml:space="preserve">С целью максимального перекрытия каждым вариантом наибольшего количества почвенных разностей их расположение проведено по длинному гону.  </w:t>
      </w:r>
    </w:p>
    <w:p w14:paraId="55E795A6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Фенологические наблюдения и отбор растительных образцов проводились внутри каждого почвенного ареала соответствующего различной глубине подстилающего горизонта. На каждом варианте закреплена учетная площадка размером 2×2 м, на которой проведены все наблюдения и отборы для изучения динамики накопления биомассы растений по фазам вегетации, биологический учет урожайности и его качества. Учет количества растений проводился после полного появления всходов.  </w:t>
      </w:r>
    </w:p>
    <w:p w14:paraId="3064F213" w14:textId="77777777" w:rsidR="001766DD" w:rsidRPr="00E30B12" w:rsidRDefault="001766DD" w:rsidP="00E30B12">
      <w:pPr>
        <w:spacing w:after="0" w:line="240" w:lineRule="auto"/>
        <w:ind w:hanging="10"/>
        <w:jc w:val="right"/>
        <w:rPr>
          <w:szCs w:val="28"/>
        </w:rPr>
      </w:pPr>
      <w:r w:rsidRPr="00E30B12">
        <w:rPr>
          <w:szCs w:val="28"/>
        </w:rPr>
        <w:t xml:space="preserve">Регулирование питания растений проводилось путем подкормок. </w:t>
      </w:r>
    </w:p>
    <w:p w14:paraId="2BA7848B" w14:textId="77777777" w:rsidR="001766DD" w:rsidRPr="00E30B12" w:rsidRDefault="001766DD" w:rsidP="00E30B12">
      <w:pPr>
        <w:spacing w:after="0" w:line="240" w:lineRule="auto"/>
        <w:ind w:firstLine="0"/>
        <w:rPr>
          <w:szCs w:val="28"/>
        </w:rPr>
      </w:pPr>
      <w:r w:rsidRPr="00E30B12">
        <w:rPr>
          <w:szCs w:val="28"/>
        </w:rPr>
        <w:t xml:space="preserve">Первая подкормка в фазу кущения проводилась комплексным удобрением </w:t>
      </w:r>
    </w:p>
    <w:p w14:paraId="54948077" w14:textId="77777777" w:rsidR="001766DD" w:rsidRPr="00E30B12" w:rsidRDefault="001766DD" w:rsidP="00E30B12">
      <w:pPr>
        <w:spacing w:after="0" w:line="240" w:lineRule="auto"/>
        <w:ind w:firstLine="0"/>
        <w:rPr>
          <w:szCs w:val="28"/>
        </w:rPr>
      </w:pPr>
      <w:proofErr w:type="spellStart"/>
      <w:r w:rsidRPr="00E30B12">
        <w:rPr>
          <w:szCs w:val="28"/>
        </w:rPr>
        <w:t>PolуFeed</w:t>
      </w:r>
      <w:proofErr w:type="spellEnd"/>
      <w:r w:rsidRPr="00E30B12">
        <w:rPr>
          <w:szCs w:val="28"/>
        </w:rPr>
        <w:t xml:space="preserve"> (19-19-19). В варианте № 2 (хозяйственном), № 3 (высокоинтенсивном) доза подкормки составила 3 кг/га. Дифференцированная подкормка с помощью Hydro-N-</w:t>
      </w:r>
      <w:proofErr w:type="spellStart"/>
      <w:r w:rsidRPr="00E30B12">
        <w:rPr>
          <w:szCs w:val="28"/>
        </w:rPr>
        <w:t>Sensor</w:t>
      </w:r>
      <w:proofErr w:type="spellEnd"/>
      <w:r w:rsidRPr="00E30B12">
        <w:rPr>
          <w:szCs w:val="28"/>
        </w:rPr>
        <w:t xml:space="preserve"> была сделана на варианте № 4 (высокоинтенсивный + точное внесение). В процессе движения трактора оптический прибор Hydro-N-</w:t>
      </w:r>
      <w:proofErr w:type="spellStart"/>
      <w:r w:rsidRPr="00E30B12">
        <w:rPr>
          <w:szCs w:val="28"/>
        </w:rPr>
        <w:t>Sensor</w:t>
      </w:r>
      <w:proofErr w:type="spellEnd"/>
      <w:r w:rsidRPr="00E30B12">
        <w:rPr>
          <w:szCs w:val="28"/>
        </w:rPr>
        <w:t xml:space="preserve"> в красном и инфракрасном диапазоне света определяет содержания хлорофилла в листьях и биомассу. На основании этих данных, динамически определяется доза азотных удобрений. Соответствующий сигнал посылается от бортового компьютера в контроллер полевого опрыскивателя, который устанавливает нужную дозу.  </w:t>
      </w:r>
    </w:p>
    <w:p w14:paraId="6011495E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>В начале фазы кущения проводилась обработка гербицидом «</w:t>
      </w:r>
      <w:proofErr w:type="spellStart"/>
      <w:r w:rsidRPr="00E30B12">
        <w:rPr>
          <w:szCs w:val="28"/>
        </w:rPr>
        <w:t>Лентур</w:t>
      </w:r>
      <w:proofErr w:type="spellEnd"/>
      <w:r w:rsidRPr="00E30B12">
        <w:rPr>
          <w:szCs w:val="28"/>
        </w:rPr>
        <w:t>», инсектицидом «Каратэ-Зенон», а так же регулятором роста «</w:t>
      </w:r>
      <w:proofErr w:type="spellStart"/>
      <w:r w:rsidRPr="00E30B12">
        <w:rPr>
          <w:szCs w:val="28"/>
        </w:rPr>
        <w:t>ЦеЦеЦе</w:t>
      </w:r>
      <w:proofErr w:type="spellEnd"/>
      <w:r w:rsidRPr="00E30B12">
        <w:rPr>
          <w:szCs w:val="28"/>
        </w:rPr>
        <w:t xml:space="preserve">». </w:t>
      </w:r>
    </w:p>
    <w:p w14:paraId="123889D2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 период вегетации яровой пшеницы учитывали начало и полное наступление </w:t>
      </w:r>
      <w:proofErr w:type="spellStart"/>
      <w:r w:rsidRPr="00E30B12">
        <w:rPr>
          <w:szCs w:val="28"/>
        </w:rPr>
        <w:t>фенофаз</w:t>
      </w:r>
      <w:proofErr w:type="spellEnd"/>
      <w:r w:rsidRPr="00E30B12">
        <w:rPr>
          <w:szCs w:val="28"/>
        </w:rPr>
        <w:t>. В фазу кущения, выхода в трубку, цветения и полной спелости (за один-два дня до уборки) отбирали образцы растений для определения накопления биомассы и расчета физиолого-агрохимических показателей, от которых зависит содержание белка в зерне. В образцах растений, отобранных в фазу полной спелости, определяли основные элементы структуры урожая. Учет урожая пшеницы проведен сплошным методом комбайном CLASS. С каждого варианта отбирали средние образцы для определения влажности и засоренности. Расчет урожайности зерна проводили на стандартную 14% влажность и 100% чистоту. Статистическую обработку полученных экспериментальных данных проводили, используя пакеты программ «</w:t>
      </w:r>
      <w:proofErr w:type="spellStart"/>
      <w:r w:rsidRPr="00E30B12">
        <w:rPr>
          <w:szCs w:val="28"/>
        </w:rPr>
        <w:t>Stat</w:t>
      </w:r>
      <w:proofErr w:type="spellEnd"/>
      <w:r w:rsidRPr="00E30B12">
        <w:rPr>
          <w:szCs w:val="28"/>
        </w:rPr>
        <w:t xml:space="preserve">» (ВИУА, 1991).  </w:t>
      </w:r>
    </w:p>
    <w:p w14:paraId="1E0BFBA2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Для решения задачи по разработке методов управления продукционным процессом с использованием дистанционных средств оценки состояния посевов с целью повышения агрономической и экономической эффективности, в течение вегетационных сезонов периодов 2009–2011 гг., была реализована схема сравнительных полевых опытов с проведением дифференцированных азотных подкормок (Якушев, Воропаев, Конев, </w:t>
      </w:r>
      <w:proofErr w:type="spellStart"/>
      <w:r w:rsidRPr="00E30B12">
        <w:rPr>
          <w:szCs w:val="28"/>
        </w:rPr>
        <w:t>Лекомцев</w:t>
      </w:r>
      <w:proofErr w:type="spellEnd"/>
      <w:r w:rsidRPr="00E30B12">
        <w:rPr>
          <w:szCs w:val="28"/>
        </w:rPr>
        <w:t xml:space="preserve"> и др., 2010; </w:t>
      </w:r>
      <w:proofErr w:type="spellStart"/>
      <w:r w:rsidRPr="00E30B12">
        <w:rPr>
          <w:szCs w:val="28"/>
        </w:rPr>
        <w:t>Лекомцев</w:t>
      </w:r>
      <w:proofErr w:type="spellEnd"/>
      <w:r w:rsidRPr="00E30B12">
        <w:rPr>
          <w:szCs w:val="28"/>
        </w:rPr>
        <w:t xml:space="preserve">, Матвеенко, 2011). Кроме контрольного (К) и высокоинтенсивного варианта (далее – ВИ), в опыте применялось несколько </w:t>
      </w:r>
      <w:r w:rsidRPr="00E30B12">
        <w:rPr>
          <w:szCs w:val="28"/>
        </w:rPr>
        <w:lastRenderedPageBreak/>
        <w:t xml:space="preserve">методических подходов дифференцированного внесения азотных подкормок, основанных на использовании оптических характеристик посевов яровой пшеницы. Два из них заключались в выполнении подкормок в режиме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 с помощью оптического прибора N-сенсор. В первом случае сенсор калибровался с использованием портативного прибора N-тестер непосредственно в посеве. Этот методический вариант в дальнейшем для краткости будем называть ТЗ 1. Во втором варианте N-сенсор калибровался по оптическим характеристикам тестовых площадок (далее – вариант ТЗ 2). Как показали результаты опыта, применение тестовых площадок, в почве которых содержится известное количество азотных удобрений, существенно упрощает процесс калибровки и увеличивает точность настройки Hydro-</w:t>
      </w:r>
      <w:proofErr w:type="spellStart"/>
      <w:r w:rsidRPr="00E30B12">
        <w:rPr>
          <w:szCs w:val="28"/>
        </w:rPr>
        <w:t>Nсенсора</w:t>
      </w:r>
      <w:proofErr w:type="spellEnd"/>
      <w:r w:rsidRPr="00E30B12">
        <w:rPr>
          <w:szCs w:val="28"/>
        </w:rPr>
        <w:t xml:space="preserve"> и позволяет исключить этап трудоемкого и дорогого биохимического определения концентрации хлорофилла и азота в лаборатории (Якушев, </w:t>
      </w:r>
    </w:p>
    <w:p w14:paraId="4CC12E1F" w14:textId="77777777" w:rsidR="001766DD" w:rsidRPr="00E30B12" w:rsidRDefault="001766DD" w:rsidP="00E30B12">
      <w:pPr>
        <w:spacing w:after="0" w:line="240" w:lineRule="auto"/>
        <w:ind w:firstLine="0"/>
        <w:rPr>
          <w:szCs w:val="28"/>
        </w:rPr>
      </w:pPr>
      <w:r w:rsidRPr="00E30B12">
        <w:rPr>
          <w:szCs w:val="28"/>
        </w:rPr>
        <w:t xml:space="preserve">Воропаев, Конев, </w:t>
      </w:r>
      <w:proofErr w:type="spellStart"/>
      <w:r w:rsidRPr="00E30B12">
        <w:rPr>
          <w:szCs w:val="28"/>
        </w:rPr>
        <w:t>Лекомцев</w:t>
      </w:r>
      <w:proofErr w:type="spellEnd"/>
      <w:r w:rsidRPr="00E30B12">
        <w:rPr>
          <w:szCs w:val="28"/>
        </w:rPr>
        <w:t xml:space="preserve"> и др., 20104; </w:t>
      </w:r>
      <w:proofErr w:type="spellStart"/>
      <w:r w:rsidRPr="00E30B12">
        <w:rPr>
          <w:szCs w:val="28"/>
        </w:rPr>
        <w:t>Лекомцев</w:t>
      </w:r>
      <w:proofErr w:type="spellEnd"/>
      <w:r w:rsidRPr="00E30B12">
        <w:rPr>
          <w:szCs w:val="28"/>
        </w:rPr>
        <w:t xml:space="preserve">, Матвеенко, 2011). </w:t>
      </w:r>
    </w:p>
    <w:p w14:paraId="2A1344EA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Особенность разработанных нами двух новых методических подходов заключалась во внесении азотных подкормок по картам-заданиям, заранее созданным на основе классификации полученных аэрофотоснимков посевов. Классификация выполнялась двумя способами: автоматически (далее – вариант ТЗ 3) и с использованием тестовых площадок в качестве эталонов </w:t>
      </w:r>
    </w:p>
    <w:p w14:paraId="40477CD4" w14:textId="77777777" w:rsidR="001766DD" w:rsidRPr="00E30B12" w:rsidRDefault="001766DD" w:rsidP="00E30B12">
      <w:pPr>
        <w:spacing w:after="0" w:line="240" w:lineRule="auto"/>
        <w:ind w:firstLine="0"/>
        <w:rPr>
          <w:szCs w:val="28"/>
        </w:rPr>
      </w:pPr>
      <w:r w:rsidRPr="00E30B12">
        <w:rPr>
          <w:szCs w:val="28"/>
        </w:rPr>
        <w:t>(далее – вариант ТЗ 4) (</w:t>
      </w:r>
      <w:proofErr w:type="spellStart"/>
      <w:r w:rsidRPr="00E30B12">
        <w:rPr>
          <w:szCs w:val="28"/>
        </w:rPr>
        <w:t>Лекомцев</w:t>
      </w:r>
      <w:proofErr w:type="spellEnd"/>
      <w:r w:rsidRPr="00E30B12">
        <w:rPr>
          <w:szCs w:val="28"/>
        </w:rPr>
        <w:t xml:space="preserve">, Матвеенко, 2011). </w:t>
      </w:r>
    </w:p>
    <w:p w14:paraId="118CB739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Рассмотренные технологии дифференцированного внесения азотных подкормок апробировались на опытных полях Агрофизического НИИ в сравнении с высокоинтенсивной агротехнологией. Различие было лишь в методе внесения удобрений (сплошной – при общепринятой высокоинтенсивной технологии, и дифференцированное внесение в высокоинтенсивных технологиях точного земледелия). Таким образом, схема исследований включала следующие варианты технологий: </w:t>
      </w:r>
    </w:p>
    <w:p w14:paraId="5E5DAFE4" w14:textId="77777777" w:rsidR="001766DD" w:rsidRPr="00E30B12" w:rsidRDefault="001766DD" w:rsidP="00E30B12">
      <w:pPr>
        <w:numPr>
          <w:ilvl w:val="0"/>
          <w:numId w:val="3"/>
        </w:numPr>
        <w:spacing w:after="0" w:line="240" w:lineRule="auto"/>
        <w:rPr>
          <w:szCs w:val="28"/>
        </w:rPr>
      </w:pPr>
      <w:r w:rsidRPr="00E30B12">
        <w:rPr>
          <w:szCs w:val="28"/>
        </w:rPr>
        <w:t xml:space="preserve">«Экстенсивный» – удобрения не вносили, продуктивность культуры зависит только от свойств почвы; </w:t>
      </w:r>
    </w:p>
    <w:p w14:paraId="4B31A1C8" w14:textId="77777777" w:rsidR="001766DD" w:rsidRPr="00E30B12" w:rsidRDefault="001766DD" w:rsidP="00E30B12">
      <w:pPr>
        <w:numPr>
          <w:ilvl w:val="0"/>
          <w:numId w:val="3"/>
        </w:numPr>
        <w:spacing w:after="0" w:line="240" w:lineRule="auto"/>
        <w:rPr>
          <w:szCs w:val="28"/>
        </w:rPr>
      </w:pPr>
      <w:r w:rsidRPr="00E30B12">
        <w:rPr>
          <w:szCs w:val="28"/>
        </w:rPr>
        <w:t xml:space="preserve">«Высокоинтенсивный» – предпосевное внесение азотных удобрений и подкормки осуществлялись традиционным методом одной дозой, рассчитанной с учетом агрохимических показателей на получение запланированного максимального урожая с использованием общепринятой методики; </w:t>
      </w:r>
    </w:p>
    <w:p w14:paraId="4A185B55" w14:textId="77777777" w:rsidR="001766DD" w:rsidRPr="00E30B12" w:rsidRDefault="001766DD" w:rsidP="00E30B12">
      <w:pPr>
        <w:numPr>
          <w:ilvl w:val="0"/>
          <w:numId w:val="3"/>
        </w:numPr>
        <w:spacing w:after="0" w:line="240" w:lineRule="auto"/>
        <w:rPr>
          <w:szCs w:val="28"/>
        </w:rPr>
      </w:pPr>
      <w:r w:rsidRPr="00E30B12">
        <w:rPr>
          <w:szCs w:val="28"/>
        </w:rPr>
        <w:t xml:space="preserve">«Точное внесение» – осуществлялось дифференцированное внесение минеральных удобрений, как основного, так и азотных подкормок в период вегетации. </w:t>
      </w:r>
    </w:p>
    <w:p w14:paraId="2374B861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Предпосевное внесение минеральных удобрений, включая азотные, на третьем варианте, проводилось дифференцированно: </w:t>
      </w:r>
    </w:p>
    <w:p w14:paraId="4FD21550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 варианте ТЗ 1 удобрения в период посева вносились дифференцированно с регулированием по данным Hydro-N-сенсора в режиме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 с калибровкой сенсора по данным портативного прибора N-тестер полученным непосредственно в посеве. </w:t>
      </w:r>
    </w:p>
    <w:p w14:paraId="4988811E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 варианте ТЗ 2 удобрения в период посева вносились дифференцированно с регулированием по данным Hydro-N-сенсора в режиме </w:t>
      </w:r>
      <w:proofErr w:type="spellStart"/>
      <w:r w:rsidRPr="00E30B12">
        <w:rPr>
          <w:szCs w:val="28"/>
        </w:rPr>
        <w:lastRenderedPageBreak/>
        <w:t>on-line</w:t>
      </w:r>
      <w:proofErr w:type="spellEnd"/>
      <w:r w:rsidRPr="00E30B12">
        <w:rPr>
          <w:szCs w:val="28"/>
        </w:rPr>
        <w:t xml:space="preserve"> с калибровкой сенсора по данным портативного прибора N-тестер полученным в посевах тестовых площадок, в почве которых содержится известное количество азотных удобрений, существенно упрощает процесс калибровки и увеличивает точность настройки Hydro-N-сенсора. </w:t>
      </w:r>
    </w:p>
    <w:p w14:paraId="14CE3AB0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 варианте ТЗ 3 внесение азотных подкормок по предварительно созданным картам-заданиям (режим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), на основе автоматической классификации полученных аэрофотоснимков посевов. </w:t>
      </w:r>
    </w:p>
    <w:p w14:paraId="46AE1CCC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 варианте ТЗ 4 удобрения в период посева вносились дифференцированно по предварительно созданным картам-заданиям (режим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), на основе классификации полученных аэрофотоснимков посевов с использованием тестовых площадок в качестве эталонов. </w:t>
      </w:r>
    </w:p>
    <w:p w14:paraId="2093940E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Таким образом, для выполнения намеченной программы исследований необходимо было, чтобы дифференцированные приемы предпосевного внесения удобрения и азотные подкормки в фазы кущения, выхода в трубку и цветения в технологии точного земледелия осуществлялись либо в режиме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, либо в режиме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.  </w:t>
      </w:r>
    </w:p>
    <w:p w14:paraId="58A39DAC" w14:textId="77777777" w:rsidR="001766DD" w:rsidRPr="00E30B12" w:rsidRDefault="001766DD" w:rsidP="00E30B12">
      <w:pPr>
        <w:pStyle w:val="1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 xml:space="preserve">2.3.3 Спецификация приемов точного земледелия </w:t>
      </w:r>
    </w:p>
    <w:p w14:paraId="17E4BF5B" w14:textId="77777777" w:rsidR="001766DD" w:rsidRPr="00E30B12" w:rsidRDefault="001766DD" w:rsidP="00E30B12">
      <w:pPr>
        <w:pStyle w:val="3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 xml:space="preserve">2.3.3.1 Реализация технологических операций в режиме </w:t>
      </w:r>
    </w:p>
    <w:p w14:paraId="3D8DC0CE" w14:textId="77777777" w:rsidR="001766DD" w:rsidRPr="00E30B12" w:rsidRDefault="001766DD" w:rsidP="00E30B12">
      <w:pPr>
        <w:pStyle w:val="1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>предварительного планирования (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) </w:t>
      </w:r>
    </w:p>
    <w:p w14:paraId="022A61E7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Одной из важнейших технологических операций в системе точного земледелия является дифференцированное внесение азотных удобрений с учетом мелкомасштабной неоднородности в пределах поля, задачей которого является оптимальное управление посевом для достижения в хозяйстве установленного урожая и специфического для данного сорта качества (содержание протеина у зерновых, масло у рапса). При этом используются две стратегии внесения азотного удобрения:  </w:t>
      </w:r>
    </w:p>
    <w:p w14:paraId="2EFA7DD6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>Двухэтапные технологии (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): </w:t>
      </w:r>
    </w:p>
    <w:p w14:paraId="5ABA46F2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 xml:space="preserve">Применение комплексных моделей баланса азота или использования динамических моделей азота и почвы для вычисления величины доз внесения азота, составления карт-заданий и дифференцированное внесение азота; </w:t>
      </w:r>
    </w:p>
    <w:p w14:paraId="37409858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 xml:space="preserve">Составление на основе карт урожайности и других вспомогательных средств карт-заданий и дифференцированное внесение азота с помощью инжекторной технологии или в форме стабилизированного удобрения; </w:t>
      </w:r>
    </w:p>
    <w:p w14:paraId="4421270F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>Одноэтапные технологии (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): </w:t>
      </w:r>
    </w:p>
    <w:p w14:paraId="46E4420A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 xml:space="preserve">Применение систем датчиков, например, </w:t>
      </w:r>
      <w:proofErr w:type="spellStart"/>
      <w:r w:rsidRPr="00E30B12">
        <w:rPr>
          <w:szCs w:val="28"/>
        </w:rPr>
        <w:t>Yara</w:t>
      </w:r>
      <w:proofErr w:type="spellEnd"/>
      <w:r w:rsidRPr="00E30B12">
        <w:rPr>
          <w:szCs w:val="28"/>
        </w:rPr>
        <w:t xml:space="preserve"> N-сенсор, CROP-метр и др., с помощью которых в режиме реального времени оценивают состояние посевов, в реальном масштабе времени определяют необходимые дозы азота и проводят их внесение; </w:t>
      </w:r>
    </w:p>
    <w:p w14:paraId="3DC6606F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 xml:space="preserve">Применение датчиков в системе реального времени с дополнением данными цифровых тематических карт факторов, например, по почвенным свойствам, с учетом целей охраны внешней среды и природы, целям урожайности (Якушев, Конев, Матвеенко, Якушева, 2011). </w:t>
      </w:r>
    </w:p>
    <w:p w14:paraId="7E6E6441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lastRenderedPageBreak/>
        <w:t xml:space="preserve">Двухэтапные технологии внесения азотного удобрения можно применять для внесения удобрений в любые сроки, но, как правило, их применяют только при внесении основного удобрения, в то время как внесение удобрений в период вегетации культур производят сенсорными технологиями. Основная концепция таких программ не отличается от компьютерных программ, использующих на практике одинаковое внесение азота по всему полю. Они используются и при дифференцированном внесении для отдельных участков поля. При этом в программы вводится </w:t>
      </w:r>
      <w:proofErr w:type="spellStart"/>
      <w:r w:rsidRPr="00E30B12">
        <w:rPr>
          <w:szCs w:val="28"/>
        </w:rPr>
        <w:t>пространственно</w:t>
      </w:r>
      <w:proofErr w:type="spellEnd"/>
      <w:r w:rsidRPr="00E30B12">
        <w:rPr>
          <w:szCs w:val="28"/>
        </w:rPr>
        <w:t xml:space="preserve"> дифференцированная информация (почвенные условия, рельеф и др.) или информация об актуальном состоянии посевов (Якушева, 2013). Величина оптимальных доз удобрения на каждом участке – это средние базисные показатели для нормального развития посевов. В зависимости от реального состояния посевов дозы снижают или увеличивают. Как правило, программы определяют также минимальные и максимальные величины доз азота. При наличии соответствующей компьютерной техники, достаточных знаний о данном поле и точных исходных данных такие программы можно использовать в конкретных хозяйствах. На основе таких программ составляют карты-задания, с помощью которых производится дифференцированное внесение азотных удобрений (Матвеенко, Воропаев, Конев, </w:t>
      </w:r>
      <w:proofErr w:type="spellStart"/>
      <w:r w:rsidRPr="00E30B12">
        <w:rPr>
          <w:szCs w:val="28"/>
        </w:rPr>
        <w:t>Лекомцев</w:t>
      </w:r>
      <w:proofErr w:type="spellEnd"/>
      <w:r w:rsidRPr="00E30B12">
        <w:rPr>
          <w:szCs w:val="28"/>
        </w:rPr>
        <w:t xml:space="preserve"> и др., 2010). </w:t>
      </w:r>
    </w:p>
    <w:p w14:paraId="6C08FAF6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При реализации технологических операций в системе точного земледелия предварительно, на стационарном компьютере, формируется карта-задание. Затем карта-задание загружается в бортовой компьютер и производится выполнение определенного агроприема на заданном поле. В зависимости от режима реализации операции различают два типа задания: </w:t>
      </w:r>
    </w:p>
    <w:p w14:paraId="2F909831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 xml:space="preserve">Карта операции (режим функционирования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); </w:t>
      </w:r>
    </w:p>
    <w:p w14:paraId="592B6E22" w14:textId="77777777" w:rsidR="001766DD" w:rsidRPr="00E30B12" w:rsidRDefault="001766DD" w:rsidP="00E30B12">
      <w:pPr>
        <w:numPr>
          <w:ilvl w:val="0"/>
          <w:numId w:val="4"/>
        </w:numPr>
        <w:spacing w:after="0" w:line="240" w:lineRule="auto"/>
        <w:ind w:left="0"/>
        <w:rPr>
          <w:szCs w:val="28"/>
        </w:rPr>
      </w:pPr>
      <w:r w:rsidRPr="00E30B12">
        <w:rPr>
          <w:szCs w:val="28"/>
        </w:rPr>
        <w:t xml:space="preserve">Карта </w:t>
      </w:r>
      <w:proofErr w:type="spellStart"/>
      <w:r w:rsidRPr="00E30B12">
        <w:rPr>
          <w:szCs w:val="28"/>
        </w:rPr>
        <w:t>агротребований</w:t>
      </w:r>
      <w:proofErr w:type="spellEnd"/>
      <w:r w:rsidRPr="00E30B12">
        <w:rPr>
          <w:szCs w:val="28"/>
        </w:rPr>
        <w:t xml:space="preserve"> на выполнение операции (режим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). </w:t>
      </w:r>
    </w:p>
    <w:p w14:paraId="722D027D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Карта операции – электронная карта поля, где для каждого однородного участка поля указана норма технологического воздействия. На рис. 2.12 представлена в общем виде структурная схема формирования и реализации технологической операции в режиме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. Реализация заданной технологической операции в рассматриваемом режиме обязательно предполагает предварительную </w:t>
      </w:r>
      <w:proofErr w:type="spellStart"/>
      <w:r w:rsidRPr="00E30B12">
        <w:rPr>
          <w:szCs w:val="28"/>
        </w:rPr>
        <w:t>компановку</w:t>
      </w:r>
      <w:proofErr w:type="spellEnd"/>
      <w:r w:rsidRPr="00E30B12">
        <w:rPr>
          <w:szCs w:val="28"/>
        </w:rPr>
        <w:t xml:space="preserve"> информации в виде электронной карты операции (Якушев, 2013).  </w:t>
      </w:r>
    </w:p>
    <w:p w14:paraId="43C56414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Формирование карты операции может, например, осуществляться с помощью мобильного комплекса, оснащенного бортовым компьютером с навигационным и геоинформационным, а также соответствующим программным обеспечением, при помощи которого создается электронный контур сельскохозяйственного объекта, на котором планируется выполнение заданной технологической операции. Располагая электронным образом объекта (поля, агроландшафта) с четкими границами в пространстве, представляется уже возможным осуществить тем или иным способом сбор необходимой атрибутивной информации (проводятся необходимые агрохимические, агрофизические, фитосанитарные и другие обследования) с </w:t>
      </w:r>
      <w:r w:rsidRPr="00E30B12">
        <w:rPr>
          <w:szCs w:val="28"/>
        </w:rPr>
        <w:lastRenderedPageBreak/>
        <w:t xml:space="preserve">жесткой привязкой регистрируемых данных к фиксированным участкам их получения внутри поля. </w:t>
      </w:r>
    </w:p>
    <w:p w14:paraId="069D380C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На следующем этапе информация обрабатывается на стационарном компьютере СППР. Таким образом, для заданной технологической операции создается массив информации, где для каждого однородного участка внутри поля, с фиксированного геометрическим образом, устанавливается тот или иной уровень технологического воздействия для осуществления заданной операции в поле (Якушев, 2013). </w:t>
      </w:r>
    </w:p>
    <w:p w14:paraId="587BE399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Данный массив информации и является электронной картой поля по заданной технологической операции, которая записывается на мобильный технический носитель, например на чип-карту. </w:t>
      </w:r>
    </w:p>
    <w:p w14:paraId="23D74A1D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На этапе реализации технологической операции чип-карта вводится в бортовой компьютер на движителе (тракторе) оснащенном навигационным оборудованием и сельскохозяйственным агрегатом, способным автоматически менять уровень технологического воздействия в ходе движения. </w:t>
      </w:r>
    </w:p>
    <w:p w14:paraId="1542F2BC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С помощью специализированного программного обеспечения бортовым компьютером постоянно производится оперативное определение места нахождения агрегата, а по информации, записанной на чип-карте, определяется уровень технологического воздействия на этом участке поля с последующей выработкой управляющей команды и обеспечивается синхронный контроль ее выполнения. </w:t>
      </w:r>
    </w:p>
    <w:p w14:paraId="4466D29D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Важно отметить, что режим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 обычно используют для технологических операций планируемых заранее (нормы высева при севе, дозы удобрений и извести), однако этот режим может быть использован и в оперативных мероприятиях по уходу за посевами. Например, с помощью мобильного радиоуправляемого самолета, смонтированных на нем </w:t>
      </w:r>
      <w:proofErr w:type="spellStart"/>
      <w:r w:rsidRPr="00E30B12">
        <w:rPr>
          <w:szCs w:val="28"/>
        </w:rPr>
        <w:t>GPSприемника</w:t>
      </w:r>
      <w:proofErr w:type="spellEnd"/>
      <w:r w:rsidRPr="00E30B12">
        <w:rPr>
          <w:szCs w:val="28"/>
        </w:rPr>
        <w:t xml:space="preserve"> и видеокамеры можно получить информацию о распределении сорняков в пределах заданного поля (Якушев, 2013). </w:t>
      </w:r>
    </w:p>
    <w:p w14:paraId="37AAB358" w14:textId="77777777" w:rsidR="001766DD" w:rsidRPr="00E30B12" w:rsidRDefault="001766D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Подобная информация уже позволит оперативно построить электронную карту распределения сорняков по полю, определить дифференцированные дозы тех или иных гербицидов для их подавления, а затем реализовать их внесение в режиме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 (Якушев, 2013). </w:t>
      </w:r>
    </w:p>
    <w:p w14:paraId="26DF2359" w14:textId="7DF62EC9" w:rsidR="00066A67" w:rsidRPr="00E30B12" w:rsidRDefault="00254DE6" w:rsidP="00E30B12">
      <w:pPr>
        <w:spacing w:after="0" w:line="240" w:lineRule="auto"/>
        <w:rPr>
          <w:szCs w:val="28"/>
        </w:rPr>
      </w:pPr>
      <w:r w:rsidRPr="00E30B12">
        <w:rPr>
          <w:noProof/>
          <w:szCs w:val="28"/>
        </w:rPr>
        <w:lastRenderedPageBreak/>
        <w:drawing>
          <wp:inline distT="0" distB="0" distL="0" distR="0" wp14:anchorId="686DD897" wp14:editId="591B178F">
            <wp:extent cx="5757672" cy="4532376"/>
            <wp:effectExtent l="0" t="0" r="0" b="0"/>
            <wp:docPr id="36103" name="Picture 36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03" name="Picture 3610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672" cy="453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41748" w14:textId="77777777" w:rsidR="00CD30AD" w:rsidRPr="00E30B12" w:rsidRDefault="00CD30AD" w:rsidP="00E30B12">
      <w:pPr>
        <w:spacing w:after="0" w:line="240" w:lineRule="auto"/>
        <w:ind w:firstLine="3"/>
        <w:jc w:val="center"/>
        <w:rPr>
          <w:szCs w:val="28"/>
        </w:rPr>
      </w:pPr>
      <w:r w:rsidRPr="00E30B12">
        <w:rPr>
          <w:szCs w:val="28"/>
        </w:rPr>
        <w:t xml:space="preserve">Рис. 2.12. Структурная схема реализации технологической операции в режиме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(Матвеенко, 2011) </w:t>
      </w:r>
    </w:p>
    <w:p w14:paraId="278DED77" w14:textId="77777777" w:rsidR="00CD30AD" w:rsidRPr="00E30B12" w:rsidRDefault="00CD30AD" w:rsidP="00E30B12">
      <w:pPr>
        <w:pStyle w:val="3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 xml:space="preserve">2.3.3.2 Реализация технологических операций в режиме реального </w:t>
      </w:r>
    </w:p>
    <w:p w14:paraId="0ADBAC93" w14:textId="77777777" w:rsidR="00CD30AD" w:rsidRPr="00E30B12" w:rsidRDefault="00CD30AD" w:rsidP="00E30B12">
      <w:pPr>
        <w:pStyle w:val="1"/>
        <w:spacing w:after="0" w:line="240" w:lineRule="auto"/>
        <w:ind w:left="0" w:right="0"/>
        <w:rPr>
          <w:szCs w:val="28"/>
        </w:rPr>
      </w:pPr>
      <w:r w:rsidRPr="00E30B12">
        <w:rPr>
          <w:szCs w:val="28"/>
        </w:rPr>
        <w:t>времени (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) </w:t>
      </w:r>
    </w:p>
    <w:p w14:paraId="28783BAD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Для выполнения оперативных решений в точном земледелии, существует специальный режим –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. Для его реализации в бортовой компьютер вводится карта </w:t>
      </w:r>
      <w:proofErr w:type="spellStart"/>
      <w:r w:rsidRPr="00E30B12">
        <w:rPr>
          <w:szCs w:val="28"/>
        </w:rPr>
        <w:t>агротребований</w:t>
      </w:r>
      <w:proofErr w:type="spellEnd"/>
      <w:r w:rsidRPr="00E30B12">
        <w:rPr>
          <w:szCs w:val="28"/>
        </w:rPr>
        <w:t xml:space="preserve"> для заданной операции– таблица, которая устанавливает взаимосвязь между сигналом, полученным от датчика, установленного на технике и нормой технологического воздействия на поле. </w:t>
      </w:r>
    </w:p>
    <w:p w14:paraId="27961F23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На рис. 2.13. в общем виде представлена структурная схема формирования карты </w:t>
      </w:r>
      <w:proofErr w:type="spellStart"/>
      <w:r w:rsidRPr="00E30B12">
        <w:rPr>
          <w:szCs w:val="28"/>
        </w:rPr>
        <w:t>агротребований</w:t>
      </w:r>
      <w:proofErr w:type="spellEnd"/>
      <w:r w:rsidRPr="00E30B12">
        <w:rPr>
          <w:szCs w:val="28"/>
        </w:rPr>
        <w:t xml:space="preserve"> и ее реализации в режиме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. В рассматриваемом режиме обязательно наличие датчика (датчиков) определения состояния посева и принципиальной возможности по измеренному сигналу принять решение (Якушев В.В., 2013).  </w:t>
      </w:r>
    </w:p>
    <w:p w14:paraId="45353989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Формирование карты </w:t>
      </w:r>
      <w:proofErr w:type="spellStart"/>
      <w:r w:rsidRPr="00E30B12">
        <w:rPr>
          <w:szCs w:val="28"/>
        </w:rPr>
        <w:t>агротребований</w:t>
      </w:r>
      <w:proofErr w:type="spellEnd"/>
      <w:r w:rsidRPr="00E30B12">
        <w:rPr>
          <w:szCs w:val="28"/>
        </w:rPr>
        <w:t xml:space="preserve"> может осуществляться двумя способами. В первом случае СППР по заданной технологической операции и планируемых к применению датчиков выбирает из базы знаний необходимые сведения для составления специальной таблицы, где каждому из всех возможных диапазонов измеренного на поле сигнала ставится в соответствие тот или иной, но конкретно определенный уровень технологического воздействия. Сформированная на стационарном компьютере информация записывается на технический носитель и является картой </w:t>
      </w:r>
      <w:proofErr w:type="spellStart"/>
      <w:r w:rsidRPr="00E30B12">
        <w:rPr>
          <w:szCs w:val="28"/>
        </w:rPr>
        <w:t>агротребований</w:t>
      </w:r>
      <w:proofErr w:type="spellEnd"/>
      <w:r w:rsidRPr="00E30B12">
        <w:rPr>
          <w:szCs w:val="28"/>
        </w:rPr>
        <w:t xml:space="preserve"> по </w:t>
      </w:r>
      <w:r w:rsidRPr="00E30B12">
        <w:rPr>
          <w:szCs w:val="28"/>
        </w:rPr>
        <w:lastRenderedPageBreak/>
        <w:t xml:space="preserve">заданной технологической операции для заранее определенного набора датчиков о сельскохозяйственного агрегата. </w:t>
      </w:r>
    </w:p>
    <w:p w14:paraId="25ED22F9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На практике в настоящее время используется и другой способ, предполагающий непосредственный ввод в бортовой компьютер информации, которую должна содержать карта </w:t>
      </w:r>
      <w:proofErr w:type="spellStart"/>
      <w:r w:rsidRPr="00E30B12">
        <w:rPr>
          <w:szCs w:val="28"/>
        </w:rPr>
        <w:t>агротребований</w:t>
      </w:r>
      <w:proofErr w:type="spellEnd"/>
      <w:r w:rsidRPr="00E30B12">
        <w:rPr>
          <w:szCs w:val="28"/>
        </w:rPr>
        <w:t xml:space="preserve">. Это связано, по-видимому, с тем, что еще не нашли широкого применения СППР нового типа. </w:t>
      </w:r>
    </w:p>
    <w:p w14:paraId="15637B02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Режим непосредственного ввода управленческой информации в бортовой компьютер удобен также при корректировке норм воздействия в полевых условиях. </w:t>
      </w:r>
    </w:p>
    <w:p w14:paraId="2472B952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На этапе выполнения технологической операции в режиме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 с помощью специального программного обеспечения бортовым компьютером синхронно осуществляется оперативное управление датчиками по определению состояния посевов, выработка на основе карты </w:t>
      </w:r>
      <w:proofErr w:type="spellStart"/>
      <w:r w:rsidRPr="00E30B12">
        <w:rPr>
          <w:szCs w:val="28"/>
        </w:rPr>
        <w:t>агротребований</w:t>
      </w:r>
      <w:proofErr w:type="spellEnd"/>
      <w:r w:rsidRPr="00E30B12">
        <w:rPr>
          <w:szCs w:val="28"/>
        </w:rPr>
        <w:t xml:space="preserve"> и полученных в ходе движения измерительных сигналов управленческого решения и контроль за его реализацией. </w:t>
      </w:r>
    </w:p>
    <w:p w14:paraId="603C3E1A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Необходимо отметить, что для реализации технологических операций в режиме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 принципиально не требуется навигационного оборудования. Наличие же GPS-приемников совершенно необходимо для рассмотренного выше режима </w:t>
      </w:r>
      <w:proofErr w:type="spellStart"/>
      <w:r w:rsidRPr="00E30B12">
        <w:rPr>
          <w:szCs w:val="28"/>
        </w:rPr>
        <w:t>off-line</w:t>
      </w:r>
      <w:proofErr w:type="spellEnd"/>
      <w:r w:rsidRPr="00E30B12">
        <w:rPr>
          <w:szCs w:val="28"/>
        </w:rPr>
        <w:t xml:space="preserve">. </w:t>
      </w:r>
    </w:p>
    <w:p w14:paraId="022757F2" w14:textId="77777777" w:rsidR="00CD30AD" w:rsidRPr="00E30B12" w:rsidRDefault="00CD30AD" w:rsidP="00E30B12">
      <w:pPr>
        <w:spacing w:after="0" w:line="240" w:lineRule="auto"/>
        <w:rPr>
          <w:szCs w:val="28"/>
        </w:rPr>
      </w:pPr>
      <w:r w:rsidRPr="00E30B12">
        <w:rPr>
          <w:szCs w:val="28"/>
        </w:rPr>
        <w:t xml:space="preserve">Вместе с тем наличие навигационного оборудования в режиме </w:t>
      </w:r>
      <w:proofErr w:type="spellStart"/>
      <w:r w:rsidRPr="00E30B12">
        <w:rPr>
          <w:szCs w:val="28"/>
        </w:rPr>
        <w:t>on-line</w:t>
      </w:r>
      <w:proofErr w:type="spellEnd"/>
      <w:r w:rsidRPr="00E30B12">
        <w:rPr>
          <w:szCs w:val="28"/>
        </w:rPr>
        <w:t xml:space="preserve"> позволяет формировать электронные карты осуществленного технологического воздействия на тех или иных участках внутри поля, что необходимо при анализе результатов и выработке новых решений по заданному полю (Матвеенко, 2011; Якушев В.В., 2013). </w:t>
      </w:r>
    </w:p>
    <w:p w14:paraId="177974E7" w14:textId="77777777" w:rsidR="00D873C8" w:rsidRPr="00E30B12" w:rsidRDefault="00D873C8" w:rsidP="00E30B12">
      <w:pPr>
        <w:spacing w:after="0" w:line="240" w:lineRule="auto"/>
        <w:ind w:firstLine="0"/>
        <w:rPr>
          <w:szCs w:val="28"/>
        </w:rPr>
      </w:pPr>
    </w:p>
    <w:p w14:paraId="2647B49F" w14:textId="27E90431" w:rsidR="00D873C8" w:rsidRDefault="00D873C8">
      <w:r>
        <w:rPr>
          <w:noProof/>
        </w:rPr>
        <w:drawing>
          <wp:inline distT="0" distB="0" distL="0" distR="0" wp14:anchorId="315289C5" wp14:editId="328115D1">
            <wp:extent cx="4771390" cy="2714625"/>
            <wp:effectExtent l="0" t="0" r="0" b="9525"/>
            <wp:docPr id="36775" name="Picture 367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75" name="Picture 3677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5818" cy="271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7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D2B08"/>
    <w:multiLevelType w:val="hybridMultilevel"/>
    <w:tmpl w:val="FFFFFFFF"/>
    <w:lvl w:ilvl="0" w:tplc="25F45860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6271B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282E8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EC6F5F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CA2541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726877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10C07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282354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42DD1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566B23"/>
    <w:multiLevelType w:val="hybridMultilevel"/>
    <w:tmpl w:val="FFFFFFFF"/>
    <w:lvl w:ilvl="0" w:tplc="FDCAE8B2">
      <w:start w:val="1"/>
      <w:numFmt w:val="bullet"/>
      <w:lvlText w:val="•"/>
      <w:lvlJc w:val="left"/>
      <w:pPr>
        <w:ind w:left="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534C88E">
      <w:start w:val="1"/>
      <w:numFmt w:val="bullet"/>
      <w:lvlText w:val="o"/>
      <w:lvlJc w:val="left"/>
      <w:pPr>
        <w:ind w:left="17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4FE9C82">
      <w:start w:val="1"/>
      <w:numFmt w:val="bullet"/>
      <w:lvlText w:val="▪"/>
      <w:lvlJc w:val="left"/>
      <w:pPr>
        <w:ind w:left="24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C621456">
      <w:start w:val="1"/>
      <w:numFmt w:val="bullet"/>
      <w:lvlText w:val="•"/>
      <w:lvlJc w:val="left"/>
      <w:pPr>
        <w:ind w:left="32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90BB08">
      <w:start w:val="1"/>
      <w:numFmt w:val="bullet"/>
      <w:lvlText w:val="o"/>
      <w:lvlJc w:val="left"/>
      <w:pPr>
        <w:ind w:left="39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4C08B74">
      <w:start w:val="1"/>
      <w:numFmt w:val="bullet"/>
      <w:lvlText w:val="▪"/>
      <w:lvlJc w:val="left"/>
      <w:pPr>
        <w:ind w:left="46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AD83934">
      <w:start w:val="1"/>
      <w:numFmt w:val="bullet"/>
      <w:lvlText w:val="•"/>
      <w:lvlJc w:val="left"/>
      <w:pPr>
        <w:ind w:left="53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8FA5D84">
      <w:start w:val="1"/>
      <w:numFmt w:val="bullet"/>
      <w:lvlText w:val="o"/>
      <w:lvlJc w:val="left"/>
      <w:pPr>
        <w:ind w:left="60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3A050D6">
      <w:start w:val="1"/>
      <w:numFmt w:val="bullet"/>
      <w:lvlText w:val="▪"/>
      <w:lvlJc w:val="left"/>
      <w:pPr>
        <w:ind w:left="68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AE5918"/>
    <w:multiLevelType w:val="hybridMultilevel"/>
    <w:tmpl w:val="FFFFFFFF"/>
    <w:lvl w:ilvl="0" w:tplc="8B14E772">
      <w:start w:val="1"/>
      <w:numFmt w:val="decimal"/>
      <w:lvlText w:val="%1."/>
      <w:lvlJc w:val="left"/>
      <w:pPr>
        <w:ind w:left="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572722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6E76A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DE339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C125BB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A2E793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DF0BB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23C2CF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EE4912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DD252CB"/>
    <w:multiLevelType w:val="hybridMultilevel"/>
    <w:tmpl w:val="FFFFFFFF"/>
    <w:lvl w:ilvl="0" w:tplc="F2F0A4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9ADF1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CCB00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8EBC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17AEF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F0161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DE445F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8B4464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AC6988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16051760">
    <w:abstractNumId w:val="2"/>
  </w:num>
  <w:num w:numId="2" w16cid:durableId="223377000">
    <w:abstractNumId w:val="0"/>
  </w:num>
  <w:num w:numId="3" w16cid:durableId="893083867">
    <w:abstractNumId w:val="3"/>
  </w:num>
  <w:num w:numId="4" w16cid:durableId="1274776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31C"/>
    <w:rsid w:val="00066A67"/>
    <w:rsid w:val="001766DD"/>
    <w:rsid w:val="00254DE6"/>
    <w:rsid w:val="002E2619"/>
    <w:rsid w:val="005B331C"/>
    <w:rsid w:val="00CD30AD"/>
    <w:rsid w:val="00D873C8"/>
    <w:rsid w:val="00E30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EE4F6"/>
  <w15:chartTrackingRefBased/>
  <w15:docId w15:val="{4B600734-3846-4D0A-A9BE-A455E9519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6DD"/>
    <w:pPr>
      <w:spacing w:after="5" w:line="3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1766DD"/>
    <w:pPr>
      <w:keepNext/>
      <w:keepLines/>
      <w:spacing w:after="4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1766DD"/>
    <w:pPr>
      <w:keepNext/>
      <w:keepLines/>
      <w:spacing w:after="4"/>
      <w:ind w:left="10" w:right="6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1766DD"/>
    <w:pPr>
      <w:keepNext/>
      <w:keepLines/>
      <w:spacing w:after="4"/>
      <w:ind w:left="10" w:right="69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66D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766D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rsid w:val="001766DD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3173</Words>
  <Characters>18092</Characters>
  <Application>Microsoft Office Word</Application>
  <DocSecurity>0</DocSecurity>
  <Lines>150</Lines>
  <Paragraphs>42</Paragraphs>
  <ScaleCrop>false</ScaleCrop>
  <Company/>
  <LinksUpToDate>false</LinksUpToDate>
  <CharactersWithSpaces>21223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7</cp:revision>
  <dcterms:created xsi:type="dcterms:W3CDTF">2022-09-02T12:20:00Z</dcterms:created>
  <dcterms:modified xsi:type="dcterms:W3CDTF">2022-09-02T12:26:00Z</dcterms:modified>
</cp:coreProperties>
</file>